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10"/>
          <w:szCs w:val="1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Orientation Schedule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10"/>
          <w:szCs w:val="10"/>
        </w:rPr>
      </w:pPr>
      <w:r w:rsidDel="00000000" w:rsidR="00000000" w:rsidRPr="00000000">
        <w:rPr>
          <w:b w:val="1"/>
          <w:rtl w:val="0"/>
        </w:rPr>
        <w:t xml:space="preserve">Customize the schedule to fit your organization</w:t>
        <w:br w:type="textWrapping"/>
      </w:r>
      <w:r w:rsidDel="00000000" w:rsidR="00000000" w:rsidRPr="00000000">
        <w:rPr>
          <w:rtl w:val="0"/>
        </w:rPr>
        <w:t xml:space="preserve">This template uses placeholder events which are typical for a standard orientation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2745"/>
            <w:gridCol w:w="1800"/>
            <w:gridCol w:w="2670"/>
            <w:tblGridChange w:id="0">
              <w:tblGrid>
                <w:gridCol w:w="1725"/>
                <w:gridCol w:w="2745"/>
                <w:gridCol w:w="1800"/>
                <w:gridCol w:w="2670"/>
              </w:tblGrid>
            </w:tblGridChange>
          </w:tblGrid>
          <w:tr>
            <w:trPr>
              <w:cantSplit w:val="0"/>
              <w:trHeight w:val="538.5546874999999" w:hRule="atLeast"/>
              <w:tblHeader w:val="0"/>
            </w:trPr>
            <w:tc>
              <w:tcPr>
                <w:shd w:fill="f6f8f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Employee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6f8f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Orientation 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Orientation Agenda</w:t>
      </w: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Ind w:w="11.999999999999993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680"/>
        <w:gridCol w:w="3270"/>
        <w:gridCol w:w="2730"/>
        <w:gridCol w:w="1245"/>
        <w:tblGridChange w:id="0">
          <w:tblGrid>
            <w:gridCol w:w="1680"/>
            <w:gridCol w:w="3270"/>
            <w:gridCol w:w="2730"/>
            <w:gridCol w:w="1245"/>
          </w:tblGrid>
        </w:tblGridChange>
      </w:tblGrid>
      <w:tr>
        <w:trPr>
          <w:cantSplit w:val="0"/>
          <w:trHeight w:val="433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f8f6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f8f6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f8f6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6f8f6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Checklist 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09:00–09:15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Welcome &amp; company 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09:15–09:35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Team introductions &amp; office / virtual tour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09:35–10:15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Culture &amp; values mini‑workshop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10:15–10:30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10:30–11:15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Payroll, time‑off &amp; benefits walkthrough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11:15–12:00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Security, safety &amp; IT policies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12:00–13:00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Team 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13:00–14:30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Role expectations &amp; 30‑day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14:30–15:00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Job‑critical systems set‑up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rHeight w:val="83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15:00–15:30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Wrap‑up, Q&amp;A, feedback pulse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[Add details]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sdt>
    <w:sdtPr>
      <w:lock w:val="contentLocked"/>
      <w:tag w:val="goog_rdk_2"/>
    </w:sdtPr>
    <w:sdtContent>
      <w:tbl>
        <w:tblPr>
          <w:tblStyle w:val="Table4"/>
          <w:tblW w:w="903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995"/>
          <w:gridCol w:w="4035"/>
          <w:tblGridChange w:id="0">
            <w:tblGrid>
              <w:gridCol w:w="4995"/>
              <w:gridCol w:w="403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666666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03E">
              <w:pPr>
                <w:widowControl w:val="0"/>
                <w:spacing w:line="276" w:lineRule="auto"/>
                <w:rPr>
                  <w:b w:val="1"/>
                  <w:color w:val="235322"/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3F">
              <w:pPr>
                <w:widowControl w:val="0"/>
                <w:spacing w:line="276" w:lineRule="auto"/>
                <w:rPr>
                  <w:b w:val="1"/>
                  <w:color w:val="235322"/>
                </w:rPr>
              </w:pPr>
              <w:r w:rsidDel="00000000" w:rsidR="00000000" w:rsidRPr="00000000">
                <w:rPr>
                  <w:b w:val="1"/>
                  <w:color w:val="235322"/>
                  <w:rtl w:val="0"/>
                </w:rPr>
                <w:t xml:space="preserve">Local Perspective, Global Reach</w:t>
              </w:r>
            </w:p>
            <w:p w:rsidR="00000000" w:rsidDel="00000000" w:rsidP="00000000" w:rsidRDefault="00000000" w:rsidRPr="00000000" w14:paraId="00000040">
              <w:pPr>
                <w:widowControl w:val="0"/>
                <w:spacing w:line="276" w:lineRule="auto"/>
                <w:rPr>
                  <w:sz w:val="20"/>
                  <w:szCs w:val="20"/>
                </w:rPr>
              </w:pP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Covering a broad range of industries &amp; specializations</w:t>
              </w:r>
            </w:p>
          </w:tc>
          <w:tc>
            <w:tcPr>
              <w:tcBorders>
                <w:top w:color="666666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041">
              <w:pPr>
                <w:widowControl w:val="0"/>
                <w:spacing w:line="276" w:lineRule="auto"/>
                <w:jc w:val="right"/>
                <w:rPr>
                  <w:b w:val="1"/>
                  <w:color w:val="235322"/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2">
              <w:pPr>
                <w:widowControl w:val="0"/>
                <w:spacing w:line="276" w:lineRule="auto"/>
                <w:jc w:val="right"/>
                <w:rPr>
                  <w:b w:val="1"/>
                  <w:color w:val="235322"/>
                </w:rPr>
              </w:pPr>
              <w:r w:rsidDel="00000000" w:rsidR="00000000" w:rsidRPr="00000000">
                <w:rPr>
                  <w:b w:val="1"/>
                  <w:color w:val="235322"/>
                  <w:rtl w:val="0"/>
                </w:rPr>
                <w:t xml:space="preserve">Your Premier HR Partner</w:t>
              </w:r>
            </w:p>
            <w:p w:rsidR="00000000" w:rsidDel="00000000" w:rsidP="00000000" w:rsidRDefault="00000000" w:rsidRPr="00000000" w14:paraId="00000043">
              <w:pPr>
                <w:widowControl w:val="0"/>
                <w:spacing w:line="276" w:lineRule="auto"/>
                <w:jc w:val="right"/>
                <w:rPr>
                  <w:sz w:val="20"/>
                  <w:szCs w:val="20"/>
                </w:rPr>
              </w:pP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www.kellerexecutivesearch.com</w:t>
              </w:r>
            </w:p>
          </w:tc>
        </w:tr>
      </w:tbl>
    </w:sdtContent>
  </w:sdt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sz w:val="14"/>
        <w:szCs w:val="14"/>
      </w:rPr>
    </w:pPr>
    <w:r w:rsidDel="00000000" w:rsidR="00000000" w:rsidRPr="00000000">
      <w:rPr>
        <w:rtl w:val="0"/>
      </w:rPr>
    </w:r>
  </w:p>
  <w:sdt>
    <w:sdtPr>
      <w:lock w:val="contentLocked"/>
      <w:tag w:val="goog_rdk_1"/>
    </w:sdtPr>
    <w:sdtContent>
      <w:tbl>
        <w:tblPr>
          <w:tblStyle w:val="Table3"/>
          <w:tblW w:w="903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245"/>
          <w:gridCol w:w="4785"/>
          <w:tblGridChange w:id="0">
            <w:tblGrid>
              <w:gridCol w:w="4245"/>
              <w:gridCol w:w="478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666666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039">
              <w:pPr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1242554" cy="356659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42554" cy="356659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666666" w:space="0" w:sz="8" w:val="single"/>
                <w:right w:color="ffffff" w:space="0" w:sz="8" w:val="single"/>
              </w:tcBorders>
              <w:shd w:fill="auto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03A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right"/>
                <w:rPr>
                  <w:b w:val="1"/>
                  <w:color w:val="235322"/>
                  <w:sz w:val="24"/>
                  <w:szCs w:val="24"/>
                </w:rPr>
              </w:pPr>
              <w:r w:rsidDel="00000000" w:rsidR="00000000" w:rsidRPr="00000000">
                <w:rPr>
                  <w:b w:val="1"/>
                  <w:color w:val="235322"/>
                  <w:sz w:val="24"/>
                  <w:szCs w:val="24"/>
                  <w:rtl w:val="0"/>
                </w:rPr>
                <w:t xml:space="preserve">Enabling Business Excellence</w:t>
              </w:r>
            </w:p>
            <w:p w:rsidR="00000000" w:rsidDel="00000000" w:rsidP="00000000" w:rsidRDefault="00000000" w:rsidRPr="00000000" w14:paraId="0000003B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right"/>
                <w:rPr>
                  <w:sz w:val="20"/>
                  <w:szCs w:val="20"/>
                </w:rPr>
              </w:pP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Talent Acquisition &amp; Transformative Consulting Services</w:t>
              </w:r>
            </w:p>
          </w:tc>
        </w:tr>
      </w:tbl>
    </w:sdtContent>
  </w:sdt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color w:val="15608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color w:val="15608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color w:val="15608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color w:val="15608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rFonts w:ascii="Calibri" w:cs="Calibri" w:eastAsia="Calibri" w:hAnsi="Calibri"/>
      <w:color w:val="15608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C6269"/>
    <w:rPr>
      <w:kern w:val="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C4F83"/>
    <w:pPr>
      <w:keepNext w:val="1"/>
      <w:keepLines w:val="1"/>
      <w:spacing w:after="120"/>
      <w:outlineLvl w:val="0"/>
    </w:pPr>
    <w:rPr>
      <w:rFonts w:ascii="Calibri Light" w:hAnsi="Calibri Light"/>
      <w:sz w:val="40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D3EDF"/>
    <w:pPr>
      <w:keepNext w:val="1"/>
      <w:keepLines w:val="1"/>
      <w:spacing w:after="80"/>
      <w:outlineLvl w:val="1"/>
    </w:pPr>
    <w:rPr>
      <w:rFonts w:ascii="Calibri Light" w:hAnsi="Calibri Light" w:cstheme="majorBidi" w:eastAsiaTheme="majorEastAsia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55575"/>
    <w:pPr>
      <w:keepNext w:val="1"/>
      <w:keepLines w:val="1"/>
      <w:spacing w:after="80"/>
      <w:outlineLvl w:val="2"/>
    </w:pPr>
    <w:rPr>
      <w:rFonts w:ascii="Calibri Light" w:hAnsi="Calibri Light" w:cstheme="majorBidi" w:eastAsiaTheme="majorEastAsia"/>
      <w:color w:val="156082" w:themeColor="accen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823C5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823C5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823C5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823C5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823C5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823C5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823C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C4F83"/>
    <w:rPr>
      <w:rFonts w:ascii="Calibri Light" w:cs="Calibri" w:eastAsia="Calibri" w:hAnsi="Calibri Light"/>
      <w:sz w:val="40"/>
      <w:szCs w:val="4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0D3EDF"/>
    <w:rPr>
      <w:rFonts w:ascii="Calibri Light" w:hAnsi="Calibri Light" w:cstheme="majorBidi" w:eastAsiaTheme="majorEastAsia"/>
      <w:kern w:val="2"/>
      <w:sz w:val="26"/>
      <w:szCs w:val="26"/>
      <w:u w:val="single"/>
      <w:lang w:val="en-ZA"/>
    </w:rPr>
  </w:style>
  <w:style w:type="character" w:styleId="Heading3Char" w:customStyle="1">
    <w:name w:val="Heading 3 Char"/>
    <w:basedOn w:val="DefaultParagraphFont"/>
    <w:link w:val="Heading3"/>
    <w:uiPriority w:val="9"/>
    <w:rsid w:val="00855575"/>
    <w:rPr>
      <w:rFonts w:ascii="Calibri Light" w:hAnsi="Calibri Light" w:cstheme="majorBidi" w:eastAsiaTheme="majorEastAsia"/>
      <w:color w:val="156082" w:themeColor="accent1"/>
      <w:kern w:val="2"/>
      <w:sz w:val="24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823C5"/>
    <w:rPr>
      <w:rFonts w:cstheme="majorBidi" w:eastAsiaTheme="majorEastAsia"/>
      <w:i w:val="1"/>
      <w:iCs w:val="1"/>
      <w:color w:val="0f4761" w:themeColor="accent1" w:themeShade="0000BF"/>
      <w:kern w:val="2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823C5"/>
    <w:rPr>
      <w:rFonts w:cstheme="majorBidi" w:eastAsiaTheme="majorEastAsia"/>
      <w:color w:val="0f4761" w:themeColor="accent1" w:themeShade="0000BF"/>
      <w:kern w:val="2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823C5"/>
    <w:rPr>
      <w:rFonts w:cstheme="majorBidi" w:eastAsiaTheme="majorEastAsia"/>
      <w:i w:val="1"/>
      <w:iCs w:val="1"/>
      <w:color w:val="595959" w:themeColor="text1" w:themeTint="0000A6"/>
      <w:kern w:val="2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823C5"/>
    <w:rPr>
      <w:rFonts w:cstheme="majorBidi" w:eastAsiaTheme="majorEastAsia"/>
      <w:color w:val="595959" w:themeColor="text1" w:themeTint="0000A6"/>
      <w:kern w:val="2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823C5"/>
    <w:rPr>
      <w:rFonts w:cstheme="majorBidi" w:eastAsiaTheme="majorEastAsia"/>
      <w:i w:val="1"/>
      <w:iCs w:val="1"/>
      <w:color w:val="272727" w:themeColor="text1" w:themeTint="0000D8"/>
      <w:kern w:val="2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823C5"/>
    <w:rPr>
      <w:rFonts w:cstheme="majorBidi" w:eastAsiaTheme="majorEastAsia"/>
      <w:color w:val="272727" w:themeColor="text1" w:themeTint="0000D8"/>
      <w:kern w:val="2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6823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60"/>
    </w:pPr>
    <w:rPr>
      <w:rFonts w:ascii="Aptos" w:cs="Aptos" w:eastAsia="Aptos" w:hAnsi="Aptos"/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23C5"/>
    <w:rPr>
      <w:rFonts w:cstheme="majorBidi" w:eastAsiaTheme="majorEastAsia"/>
      <w:color w:val="595959" w:themeColor="text1" w:themeTint="0000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823C5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823C5"/>
    <w:rPr>
      <w:rFonts w:ascii="Calibri" w:hAnsi="Calibri"/>
      <w:i w:val="1"/>
      <w:iCs w:val="1"/>
      <w:color w:val="404040" w:themeColor="text1" w:themeTint="0000BF"/>
      <w:kern w:val="2"/>
      <w:szCs w:val="24"/>
    </w:rPr>
  </w:style>
  <w:style w:type="paragraph" w:styleId="ListParagraph">
    <w:name w:val="List Paragraph"/>
    <w:basedOn w:val="Normal"/>
    <w:uiPriority w:val="34"/>
    <w:qFormat w:val="1"/>
    <w:rsid w:val="006823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823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823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23C5"/>
    <w:rPr>
      <w:rFonts w:ascii="Calibri" w:hAnsi="Calibri"/>
      <w:i w:val="1"/>
      <w:iCs w:val="1"/>
      <w:color w:val="0f4761" w:themeColor="accent1" w:themeShade="0000BF"/>
      <w:kern w:val="2"/>
      <w:szCs w:val="24"/>
    </w:rPr>
  </w:style>
  <w:style w:type="character" w:styleId="IntenseReference">
    <w:name w:val="Intense Reference"/>
    <w:basedOn w:val="DefaultParagraphFont"/>
    <w:uiPriority w:val="32"/>
    <w:qFormat w:val="1"/>
    <w:rsid w:val="006823C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F720E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8Qp87lpQlmseVcTw/Xp9ZzqQA==">CgMxLjAaHwoBMBIaChgICVIUChJ0YWJsZS5icGJtNm9zMDVoM20aHwoBMRIaChgICVIUChJ0YWJsZS5lODBldDZlcTh0c3gaHwoBMhIaChgICVIUChJ0YWJsZS5heGVvZjdqOGNzd2o4AHIhMV94eUJmSXZXaDZFa0ROUjFBWU5yemdyYklVbFF6RzZ0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2025-03-25T10:23:00Z</dcterms:created>
  <dc:creator>Lyle Lennox</dc:creator>
</cp:coreProperties>
</file>